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16"/>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158750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45"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190500</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11"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111"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November 18, 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176530</wp:posOffset>
            </wp:positionV>
            <wp:extent cx="1474470" cy="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369"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167640</wp:posOffset>
            </wp:positionV>
            <wp:extent cx="147447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ectPr>
          <w:pgSz w:w="11900" w:h="16838" w:orient="portrait"/>
          <w:cols w:equalWidth="0" w:num="1">
            <w:col w:w="11024"/>
          </w:cols>
          <w:pgMar w:left="436" w:top="443" w:right="439" w:bottom="1440" w:gutter="0" w:footer="0" w:header="0"/>
        </w:sectPr>
      </w:pPr>
    </w:p>
    <w:p>
      <w:pPr>
        <w:spacing w:after="0" w:line="200" w:lineRule="exact"/>
        <w:rPr>
          <w:sz w:val="24"/>
          <w:szCs w:val="24"/>
          <w:color w:val="auto"/>
        </w:rPr>
      </w:pPr>
    </w:p>
    <w:p>
      <w:pPr>
        <w:spacing w:after="0" w:line="244" w:lineRule="exact"/>
        <w:rPr>
          <w:sz w:val="24"/>
          <w:szCs w:val="24"/>
          <w:color w:val="auto"/>
        </w:rPr>
      </w:pPr>
    </w:p>
    <w:p>
      <w:pPr>
        <w:ind w:left="1504"/>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jc w:val="center"/>
        <w:ind w:right="2180"/>
        <w:spacing w:after="0"/>
        <w:rPr>
          <w:sz w:val="20"/>
          <w:szCs w:val="20"/>
          <w:color w:val="auto"/>
        </w:rPr>
      </w:pPr>
      <w:r>
        <w:rPr>
          <w:rFonts w:ascii="Times New Roman" w:cs="Times New Roman" w:eastAsia="Times New Roman" w:hAnsi="Times New Roman"/>
          <w:sz w:val="17"/>
          <w:szCs w:val="17"/>
          <w:b w:val="1"/>
          <w:bCs w:val="1"/>
          <w:color w:val="auto"/>
        </w:rPr>
        <w:t>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604" w:space="720"/>
            <w:col w:w="2780" w:space="720"/>
            <w:col w:w="2200"/>
          </w:cols>
          <w:pgMar w:left="436" w:top="443" w:right="439" w:bottom="1440" w:gutter="0" w:footer="0" w:header="0"/>
          <w:type w:val="continuous"/>
        </w:sectPr>
      </w:pPr>
    </w:p>
    <w:p>
      <w:pPr>
        <w:jc w:val="center"/>
        <w:ind w:right="756"/>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56"/>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134" w:lineRule="exact"/>
        <w:rPr>
          <w:sz w:val="24"/>
          <w:szCs w:val="24"/>
          <w:color w:val="auto"/>
        </w:rPr>
      </w:pPr>
    </w:p>
    <w:p>
      <w:pPr>
        <w:sectPr>
          <w:pgSz w:w="11900" w:h="16838" w:orient="portrait"/>
          <w:cols w:equalWidth="0" w:num="3">
            <w:col w:w="4484" w:space="720"/>
            <w:col w:w="2760" w:space="720"/>
            <w:col w:w="2340"/>
          </w:cols>
          <w:pgMar w:left="436" w:top="443" w:right="439" w:bottom="1440" w:gutter="0" w:footer="0" w:header="0"/>
          <w:type w:val="continuous"/>
        </w:sectPr>
      </w:pPr>
    </w:p>
    <w:p>
      <w:pPr>
        <w:jc w:val="center"/>
        <w:ind w:right="1856"/>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56"/>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196"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2" w:lineRule="exact"/>
        <w:rPr>
          <w:sz w:val="24"/>
          <w:szCs w:val="24"/>
          <w:color w:val="auto"/>
        </w:rPr>
      </w:pPr>
    </w:p>
    <w:p>
      <w:pPr>
        <w:sectPr>
          <w:pgSz w:w="11900" w:h="16838" w:orient="portrait"/>
          <w:cols w:equalWidth="0" w:num="2">
            <w:col w:w="7404" w:space="720"/>
            <w:col w:w="2900"/>
          </w:cols>
          <w:pgMar w:left="436" w:top="443" w:right="439" w:bottom="1440" w:gutter="0" w:footer="0" w:header="0"/>
          <w:type w:val="continuous"/>
        </w:sectPr>
      </w:pPr>
    </w:p>
    <w:p>
      <w:pPr>
        <w:ind w:left="1584"/>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00" w:lineRule="exact"/>
        <w:rPr>
          <w:sz w:val="24"/>
          <w:szCs w:val="24"/>
          <w:color w:val="auto"/>
        </w:rPr>
      </w:pPr>
    </w:p>
    <w:p>
      <w:pPr>
        <w:sectPr>
          <w:pgSz w:w="11900" w:h="16838" w:orient="portrait"/>
          <w:cols w:equalWidth="0" w:num="2">
            <w:col w:w="7284" w:space="720"/>
            <w:col w:w="3020"/>
          </w:cols>
          <w:pgMar w:left="436" w:top="443" w:right="439" w:bottom="1440" w:gutter="0" w:footer="0" w:header="0"/>
          <w:type w:val="continuous"/>
        </w:sectPr>
      </w:pPr>
    </w:p>
    <w:p>
      <w:pPr>
        <w:jc w:val="center"/>
        <w:ind w:right="-3"/>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304"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170815</wp:posOffset>
            </wp:positionV>
            <wp:extent cx="1474470" cy="889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392" w:lineRule="exact"/>
        <w:rPr>
          <w:sz w:val="24"/>
          <w:szCs w:val="24"/>
          <w:color w:val="auto"/>
        </w:rPr>
      </w:pPr>
    </w:p>
    <w:p>
      <w:pPr>
        <w:ind w:left="4"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left="4" w:right="2560" w:hanging="4"/>
        <w:spacing w:after="0" w:line="418" w:lineRule="auto"/>
        <w:tabs>
          <w:tab w:leader="none" w:pos="436"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 Securities registered pursuant to Section 12(b) of the Act:</w:t>
      </w:r>
    </w:p>
    <w:tbl>
      <w:tblPr>
        <w:tblLayout w:type="fixed"/>
        <w:tblInd w:w="4" w:type="dxa"/>
        <w:tblCellMar>
          <w:top w:w="0" w:type="dxa"/>
          <w:left w:w="0" w:type="dxa"/>
          <w:bottom w:w="0" w:type="dxa"/>
          <w:right w:w="0" w:type="dxa"/>
        </w:tblCellMar>
      </w:tblPr>
      <w:tr>
        <w:trPr>
          <w:trHeight w:val="150"/>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line="150" w:lineRule="exact"/>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line="150" w:lineRule="exact"/>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ind w:left="1520"/>
              <w:spacing w:after="0"/>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98" w:lineRule="exact"/>
        <w:rPr>
          <w:sz w:val="24"/>
          <w:szCs w:val="24"/>
          <w:color w:val="auto"/>
        </w:rPr>
      </w:pPr>
    </w:p>
    <w:p>
      <w:pPr>
        <w:ind w:left="4"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53" w:lineRule="exact"/>
        <w:rPr>
          <w:sz w:val="24"/>
          <w:szCs w:val="24"/>
          <w:color w:val="auto"/>
        </w:rPr>
      </w:pPr>
    </w:p>
    <w:p>
      <w:pPr>
        <w:ind w:left="4"/>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198" w:lineRule="exact"/>
        <w:rPr>
          <w:sz w:val="24"/>
          <w:szCs w:val="24"/>
          <w:color w:val="auto"/>
        </w:rPr>
      </w:pPr>
    </w:p>
    <w:p>
      <w:pPr>
        <w:ind w:left="4"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0</wp:posOffset>
            </wp:positionH>
            <wp:positionV relativeFrom="paragraph">
              <wp:posOffset>85725</wp:posOffset>
            </wp:positionV>
            <wp:extent cx="6995160"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column">
              <wp:posOffset>0</wp:posOffset>
            </wp:positionH>
            <wp:positionV relativeFrom="paragraph">
              <wp:posOffset>128270</wp:posOffset>
            </wp:positionV>
            <wp:extent cx="6995160" cy="825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255"/>
                    </a:xfrm>
                    <a:prstGeom prst="rect">
                      <a:avLst/>
                    </a:prstGeom>
                    <a:noFill/>
                  </pic:spPr>
                </pic:pic>
              </a:graphicData>
            </a:graphic>
          </wp:anchor>
        </w:drawing>
      </w:r>
    </w:p>
    <w:p>
      <w:pPr>
        <w:sectPr>
          <w:pgSz w:w="11900" w:h="16838" w:orient="portrait"/>
          <w:cols w:equalWidth="0" w:num="1">
            <w:col w:w="11024"/>
          </w:cols>
          <w:pgMar w:left="436" w:top="443"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21"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On November 18, 2024, MicroStrategy Incorporated (the “Company”) issued a press release announcing its intention to offer, subject to market conditions and other factors, $1.75 billion aggregate principal amount of its 0% convertible senior notes due 2029 in a private offering to persons reasonably believed to be qualified institutional buyers in reliance on Rule 144A under the Securities Act of 1933, as amended (the “Securities Act”) and to certain non-U.S. persons in transactions outside the United States in compliance with Regulation S under the Securities Act, and to grant to the initial purchasers of the notes an option to purchase, within a 3-day period beginning on, and including, the date on which the notes are first issued, up to an additional $250 million aggregate principal amount of the notes. A copy of the press release announcing the offering is filed as Exhibit 99.1 to this Current Report on Form 8-K and is incorporated herein by reference.</w:t>
      </w:r>
    </w:p>
    <w:p>
      <w:pPr>
        <w:spacing w:after="0" w:line="189" w:lineRule="exact"/>
        <w:rPr>
          <w:sz w:val="20"/>
          <w:szCs w:val="20"/>
          <w:color w:val="auto"/>
        </w:rPr>
      </w:pPr>
    </w:p>
    <w:p>
      <w:pPr>
        <w:ind w:right="100" w:firstLine="440"/>
        <w:spacing w:after="0" w:line="255" w:lineRule="auto"/>
        <w:rPr>
          <w:sz w:val="20"/>
          <w:szCs w:val="20"/>
          <w:color w:val="auto"/>
        </w:rPr>
      </w:pPr>
      <w:r>
        <w:rPr>
          <w:rFonts w:ascii="Times New Roman" w:cs="Times New Roman" w:eastAsia="Times New Roman" w:hAnsi="Times New Roman"/>
          <w:sz w:val="18"/>
          <w:szCs w:val="18"/>
          <w:color w:val="auto"/>
        </w:rPr>
        <w:t>On November 20, 2024, the Company issued a press release announcing that it has priced a private offering of $2.6 billion aggregate principal amount of its 0% convertible senior notes due 2029. The notes will be sold only to persons reasonably believed to be qualified institutional buyers in accordance with Rule 144A under the Securities Act and to certain non-U.S. persons in transactions outside the United States in compliance with Regulation S under the Securities Act. The Company also granted to the initial purchasers of the notes an option to purchase, within a 3-day period beginning on, and including, the date on which the notes are first issued, up to an additional $400 million aggregate principal amount of the notes. The offering was upsized from the previously announced offering of $1.75 billion aggregate principal amount of the notes. The offering is expected to close on November 21, 2024, subject to satisfaction of customary closing conditions.</w:t>
      </w:r>
    </w:p>
    <w:p>
      <w:pPr>
        <w:spacing w:after="0" w:line="189" w:lineRule="exact"/>
        <w:rPr>
          <w:sz w:val="20"/>
          <w:szCs w:val="20"/>
          <w:color w:val="auto"/>
        </w:rPr>
      </w:pPr>
    </w:p>
    <w:p>
      <w:pPr>
        <w:ind w:right="40" w:firstLine="440"/>
        <w:spacing w:after="0" w:line="261" w:lineRule="auto"/>
        <w:rPr>
          <w:sz w:val="20"/>
          <w:szCs w:val="20"/>
          <w:color w:val="auto"/>
        </w:rPr>
      </w:pPr>
      <w:r>
        <w:rPr>
          <w:rFonts w:ascii="Times New Roman" w:cs="Times New Roman" w:eastAsia="Times New Roman" w:hAnsi="Times New Roman"/>
          <w:sz w:val="18"/>
          <w:szCs w:val="18"/>
          <w:color w:val="auto"/>
        </w:rPr>
        <w:t>The Company estimates that the net proceeds of the offering will be approximately $2.58 billion (or approximately $2.97 billion if the initial purchasers exercise in full their option to purchase additional notes), after deducting the initial purchasers’ discounts and commissions and estimated offering expenses payable by the Company. The Company intends to use the net proceeds from the sale of the notes to acquire additional bitcoin and for general corporate purposes.</w:t>
      </w:r>
    </w:p>
    <w:p>
      <w:pPr>
        <w:spacing w:after="0" w:line="180" w:lineRule="exact"/>
        <w:rPr>
          <w:sz w:val="20"/>
          <w:szCs w:val="20"/>
          <w:color w:val="auto"/>
        </w:rPr>
      </w:pPr>
    </w:p>
    <w:p>
      <w:pPr>
        <w:ind w:right="140" w:firstLine="440"/>
        <w:spacing w:after="0" w:line="282" w:lineRule="auto"/>
        <w:rPr>
          <w:sz w:val="20"/>
          <w:szCs w:val="20"/>
          <w:color w:val="auto"/>
        </w:rPr>
      </w:pPr>
      <w:r>
        <w:rPr>
          <w:rFonts w:ascii="Times New Roman" w:cs="Times New Roman" w:eastAsia="Times New Roman" w:hAnsi="Times New Roman"/>
          <w:sz w:val="18"/>
          <w:szCs w:val="18"/>
          <w:color w:val="auto"/>
        </w:rPr>
        <w:t>A copy of the press release announcing the pricing of the offering is filed as Exhibit 99.2 to this Current Report on Form 8-K and is incorporated herein by reference.</w:t>
      </w:r>
    </w:p>
    <w:p>
      <w:pPr>
        <w:spacing w:after="0" w:line="162" w:lineRule="exact"/>
        <w:rPr>
          <w:sz w:val="20"/>
          <w:szCs w:val="20"/>
          <w:color w:val="auto"/>
        </w:rPr>
      </w:pPr>
    </w:p>
    <w:p>
      <w:pPr>
        <w:ind w:right="120" w:firstLine="440"/>
        <w:spacing w:after="0" w:line="266" w:lineRule="auto"/>
        <w:rPr>
          <w:sz w:val="20"/>
          <w:szCs w:val="20"/>
          <w:color w:val="auto"/>
        </w:rPr>
      </w:pPr>
      <w:r>
        <w:rPr>
          <w:rFonts w:ascii="Times New Roman" w:cs="Times New Roman" w:eastAsia="Times New Roman" w:hAnsi="Times New Roman"/>
          <w:sz w:val="18"/>
          <w:szCs w:val="18"/>
          <w:color w:val="auto"/>
        </w:rPr>
        <w:t>The information contained in Item 8.01 of this Current Report on Form 8-K shall not constitute an offer to sell, or a solicitation of an offer to buy the notes, nor shall there be any sale of, the notes in any state or jurisdiction in which such offer, solicitation or sale would be unlawful under the securities laws of any such state or jurisdiction.</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Cautionary Note Regarding Forward-Looking Statements</w:t>
      </w:r>
    </w:p>
    <w:p>
      <w:pPr>
        <w:spacing w:after="0" w:line="121"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Statements in this Current Report on Form 8-K and the exhibit attached hereto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estimated net proceeds of the offering, the anticipated use of such net proceeds, and the anticipated closing date.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and the completion of the offering on the anticipated terms or at all, the other factors discussed in the “Risk Factors” section of the Company’s Quarterly Report on Form 10-Q filed with the Securities and Exchange Commission on October 31, 2024, and the risks described in other filings that the Company may make with the Securities and Exchange Commission. Any forward-looking statements contained in this Current Report on Form 8-K speak only as of the date hereof, and the Company specifically disclaims any obligation to update any forward-looking statement, whether as a result of new information, future events, or otherwise.</w:t>
      </w:r>
    </w:p>
    <w:p>
      <w:pPr>
        <w:sectPr>
          <w:pgSz w:w="11900" w:h="16838" w:orient="portrait"/>
          <w:cols w:equalWidth="0" w:num="1">
            <w:col w:w="11000"/>
          </w:cols>
          <w:pgMar w:left="440" w:top="293" w:right="459" w:bottom="1440" w:gutter="0" w:footer="0" w:header="0"/>
        </w:sectPr>
      </w:pPr>
    </w:p>
    <w:bookmarkStart w:id="2" w:name="page3"/>
    <w:bookmarkEnd w:id="2"/>
    <w:tbl>
      <w:tblPr>
        <w:tblLayout w:type="fixed"/>
        <w:tblInd w:w="0" w:type="dxa"/>
        <w:tblCellMar>
          <w:top w:w="0" w:type="dxa"/>
          <w:left w:w="0" w:type="dxa"/>
          <w:bottom w:w="0" w:type="dxa"/>
          <w:right w:w="0" w:type="dxa"/>
        </w:tblCellMar>
      </w:tblPr>
      <w:tr>
        <w:trPr>
          <w:trHeight w:val="238"/>
        </w:trPr>
        <w:tc>
          <w:tcPr>
            <w:tcW w:w="880" w:type="dxa"/>
            <w:vAlign w:val="bottom"/>
          </w:tcPr>
          <w:p>
            <w:pPr>
              <w:spacing w:after="0"/>
              <w:rPr>
                <w:sz w:val="20"/>
                <w:szCs w:val="20"/>
                <w:color w:val="auto"/>
              </w:rPr>
            </w:pPr>
            <w:r>
              <w:rPr>
                <w:rFonts w:ascii="Times New Roman" w:cs="Times New Roman" w:eastAsia="Times New Roman" w:hAnsi="Times New Roman"/>
                <w:sz w:val="18"/>
                <w:szCs w:val="18"/>
                <w:b w:val="1"/>
                <w:bCs w:val="1"/>
                <w:color w:val="auto"/>
              </w:rPr>
              <w:t>Item 9.01.</w:t>
            </w:r>
          </w:p>
        </w:tc>
        <w:tc>
          <w:tcPr>
            <w:tcW w:w="5820" w:type="dxa"/>
            <w:vAlign w:val="bottom"/>
            <w:gridSpan w:val="2"/>
          </w:tcPr>
          <w:p>
            <w:pPr>
              <w:ind w:left="320"/>
              <w:spacing w:after="0"/>
              <w:rPr>
                <w:sz w:val="20"/>
                <w:szCs w:val="20"/>
                <w:color w:val="auto"/>
              </w:rPr>
            </w:pPr>
            <w:r>
              <w:rPr>
                <w:rFonts w:ascii="Times New Roman" w:cs="Times New Roman" w:eastAsia="Times New Roman" w:hAnsi="Times New Roman"/>
                <w:sz w:val="18"/>
                <w:szCs w:val="18"/>
                <w:b w:val="1"/>
                <w:bCs w:val="1"/>
                <w:color w:val="auto"/>
              </w:rPr>
              <w:t>Financial Statements and Exhibits.</w:t>
            </w:r>
          </w:p>
        </w:tc>
      </w:tr>
      <w:tr>
        <w:trPr>
          <w:trHeight w:val="324"/>
        </w:trPr>
        <w:tc>
          <w:tcPr>
            <w:tcW w:w="670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(d)   Exhibits</w:t>
            </w:r>
          </w:p>
        </w:tc>
      </w:tr>
      <w:tr>
        <w:trPr>
          <w:trHeight w:val="367"/>
        </w:trPr>
        <w:tc>
          <w:tcPr>
            <w:tcW w:w="88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Exhibit</w:t>
            </w:r>
          </w:p>
        </w:tc>
        <w:tc>
          <w:tcPr>
            <w:tcW w:w="4800" w:type="dxa"/>
            <w:vAlign w:val="bottom"/>
          </w:tcPr>
          <w:p>
            <w:pPr>
              <w:spacing w:after="0"/>
              <w:rPr>
                <w:sz w:val="24"/>
                <w:szCs w:val="24"/>
                <w:color w:val="auto"/>
              </w:rPr>
            </w:pPr>
          </w:p>
        </w:tc>
        <w:tc>
          <w:tcPr>
            <w:tcW w:w="1020" w:type="dxa"/>
            <w:vAlign w:val="bottom"/>
          </w:tcPr>
          <w:p>
            <w:pPr>
              <w:spacing w:after="0"/>
              <w:rPr>
                <w:sz w:val="24"/>
                <w:szCs w:val="24"/>
                <w:color w:val="auto"/>
              </w:rPr>
            </w:pPr>
          </w:p>
        </w:tc>
      </w:tr>
      <w:tr>
        <w:trPr>
          <w:trHeight w:val="204"/>
        </w:trPr>
        <w:tc>
          <w:tcPr>
            <w:tcW w:w="880" w:type="dxa"/>
            <w:vAlign w:val="bottom"/>
          </w:tcPr>
          <w:p>
            <w:pPr>
              <w:ind w:left="120"/>
              <w:spacing w:after="0"/>
              <w:rPr>
                <w:sz w:val="20"/>
                <w:szCs w:val="20"/>
                <w:color w:val="auto"/>
              </w:rPr>
            </w:pPr>
            <w:r>
              <w:rPr>
                <w:rFonts w:ascii="Times New Roman" w:cs="Times New Roman" w:eastAsia="Times New Roman" w:hAnsi="Times New Roman"/>
                <w:sz w:val="14"/>
                <w:szCs w:val="14"/>
                <w:b w:val="1"/>
                <w:bCs w:val="1"/>
                <w:color w:val="auto"/>
              </w:rPr>
              <w:t>No.</w:t>
            </w:r>
          </w:p>
        </w:tc>
        <w:tc>
          <w:tcPr>
            <w:tcW w:w="5820" w:type="dxa"/>
            <w:vAlign w:val="bottom"/>
            <w:gridSpan w:val="2"/>
          </w:tcPr>
          <w:p>
            <w:pPr>
              <w:spacing w:after="0"/>
              <w:rPr>
                <w:sz w:val="20"/>
                <w:szCs w:val="20"/>
                <w:color w:val="auto"/>
              </w:rPr>
            </w:pPr>
            <w:r>
              <w:rPr>
                <w:rFonts w:ascii="Times New Roman" w:cs="Times New Roman" w:eastAsia="Times New Roman" w:hAnsi="Times New Roman"/>
                <w:sz w:val="14"/>
                <w:szCs w:val="14"/>
                <w:b w:val="1"/>
                <w:bCs w:val="1"/>
                <w:color w:val="auto"/>
              </w:rPr>
              <w:t>Description</w:t>
            </w:r>
          </w:p>
        </w:tc>
      </w:tr>
      <w:tr>
        <w:trPr>
          <w:trHeight w:val="266"/>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99.1</w:t>
            </w:r>
          </w:p>
        </w:tc>
        <w:tc>
          <w:tcPr>
            <w:tcW w:w="4800" w:type="dxa"/>
            <w:vAlign w:val="bottom"/>
            <w:tcBorders>
              <w:bottom w:val="single" w:sz="8" w:color="0000EE"/>
            </w:tcBorders>
          </w:tcPr>
          <w:p>
            <w:pPr>
              <w:spacing w:after="0"/>
              <w:rPr>
                <w:sz w:val="20"/>
                <w:szCs w:val="20"/>
                <w:color w:val="auto"/>
              </w:rPr>
            </w:pPr>
            <w:r>
              <w:rPr>
                <w:rFonts w:ascii="Times New Roman" w:cs="Times New Roman" w:eastAsia="Times New Roman" w:hAnsi="Times New Roman"/>
                <w:sz w:val="18"/>
                <w:szCs w:val="18"/>
                <w:color w:val="0000EE"/>
                <w:w w:val="99"/>
              </w:rPr>
              <w:t>Press Release, dated November 18, 2024, announcing the offering.</w:t>
            </w:r>
          </w:p>
        </w:tc>
        <w:tc>
          <w:tcPr>
            <w:tcW w:w="1020" w:type="dxa"/>
            <w:vAlign w:val="bottom"/>
          </w:tcPr>
          <w:p>
            <w:pPr>
              <w:spacing w:after="0"/>
              <w:rPr>
                <w:sz w:val="23"/>
                <w:szCs w:val="23"/>
                <w:color w:val="auto"/>
              </w:rPr>
            </w:pPr>
          </w:p>
        </w:tc>
      </w:tr>
      <w:tr>
        <w:trPr>
          <w:trHeight w:val="304"/>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99.2</w:t>
            </w:r>
          </w:p>
        </w:tc>
        <w:tc>
          <w:tcPr>
            <w:tcW w:w="5820" w:type="dxa"/>
            <w:vAlign w:val="bottom"/>
            <w:tcBorders>
              <w:bottom w:val="single" w:sz="8" w:color="0000EE"/>
            </w:tcBorders>
            <w:gridSpan w:val="2"/>
          </w:tcPr>
          <w:p>
            <w:pPr>
              <w:spacing w:after="0"/>
              <w:rPr>
                <w:sz w:val="20"/>
                <w:szCs w:val="20"/>
                <w:color w:val="auto"/>
              </w:rPr>
            </w:pPr>
            <w:r>
              <w:rPr>
                <w:rFonts w:ascii="Times New Roman" w:cs="Times New Roman" w:eastAsia="Times New Roman" w:hAnsi="Times New Roman"/>
                <w:sz w:val="18"/>
                <w:szCs w:val="18"/>
                <w:color w:val="0000EE"/>
                <w:w w:val="99"/>
              </w:rPr>
              <w:t>Press Release, dated November 20, 2024, announcing the pricing of the offering.</w:t>
            </w:r>
          </w:p>
        </w:tc>
      </w:tr>
      <w:tr>
        <w:trPr>
          <w:trHeight w:val="345"/>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104</w:t>
            </w:r>
          </w:p>
        </w:tc>
        <w:tc>
          <w:tcPr>
            <w:tcW w:w="582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Cover Page Interactive Data File (embedded within the Inline XBRL document)</w:t>
            </w:r>
          </w:p>
        </w:tc>
      </w:tr>
    </w:tbl>
    <w:p>
      <w:pPr>
        <w:spacing w:after="0"/>
        <w:rPr>
          <w:sz w:val="20"/>
          <w:szCs w:val="20"/>
          <w:color w:val="auto"/>
        </w:rPr>
        <w:sectPr>
          <w:pgSz w:w="11900" w:h="16838" w:orient="portrait"/>
          <w:cols w:equalWidth="0" w:num="1">
            <w:col w:w="10019"/>
          </w:cols>
          <w:pgMar w:left="440" w:top="293" w:right="1440" w:bottom="1440" w:gutter="0" w:footer="0" w:header="0"/>
        </w:sect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245"/>
                    </a:xfrm>
                    <a:prstGeom prst="rect">
                      <a:avLst/>
                    </a:prstGeom>
                    <a:noFill/>
                  </pic:spPr>
                </pic:pic>
              </a:graphicData>
            </a:graphic>
          </wp:anchor>
        </w:drawing>
      </w:r>
    </w:p>
    <w:bookmarkStart w:id="3" w:name="page4"/>
    <w:bookmarkEnd w:id="3"/>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7174865" cy="55880"/>
                    </a:xfrm>
                    <a:prstGeom prst="rect">
                      <a:avLst/>
                    </a:prstGeom>
                    <a:noFill/>
                  </pic:spPr>
                </pic:pic>
              </a:graphicData>
            </a:graphic>
          </wp:anchor>
        </w:drawing>
        <w:t>SIGNATURE</w:t>
      </w:r>
    </w:p>
    <w:p>
      <w:pPr>
        <w:spacing w:after="0" w:line="229" w:lineRule="exact"/>
        <w:rPr>
          <w:sz w:val="20"/>
          <w:szCs w:val="20"/>
          <w:color w:val="auto"/>
        </w:rPr>
      </w:pPr>
    </w:p>
    <w:p>
      <w:pPr>
        <w:ind w:right="300" w:firstLine="44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700" w:type="dxa"/>
            <w:vAlign w:val="bottom"/>
          </w:tcPr>
          <w:p>
            <w:pPr>
              <w:spacing w:after="0"/>
              <w:rPr>
                <w:sz w:val="18"/>
                <w:szCs w:val="18"/>
                <w:color w:val="auto"/>
              </w:rPr>
            </w:pPr>
          </w:p>
        </w:tc>
        <w:tc>
          <w:tcPr>
            <w:tcW w:w="7320" w:type="dxa"/>
            <w:vAlign w:val="bottom"/>
            <w:gridSpan w:val="2"/>
          </w:tcPr>
          <w:p>
            <w:pPr>
              <w:ind w:left="182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48"/>
        </w:trPr>
        <w:tc>
          <w:tcPr>
            <w:tcW w:w="3700" w:type="dxa"/>
            <w:vAlign w:val="bottom"/>
          </w:tcPr>
          <w:p>
            <w:pPr>
              <w:spacing w:after="0"/>
              <w:rPr>
                <w:sz w:val="20"/>
                <w:szCs w:val="20"/>
                <w:color w:val="auto"/>
              </w:rPr>
            </w:pPr>
            <w:r>
              <w:rPr>
                <w:rFonts w:ascii="Times New Roman" w:cs="Times New Roman" w:eastAsia="Times New Roman" w:hAnsi="Times New Roman"/>
                <w:sz w:val="18"/>
                <w:szCs w:val="18"/>
                <w:color w:val="auto"/>
              </w:rPr>
              <w:t>Date: November 20, 2024</w:t>
            </w:r>
          </w:p>
        </w:tc>
        <w:tc>
          <w:tcPr>
            <w:tcW w:w="7320" w:type="dxa"/>
            <w:vAlign w:val="bottom"/>
            <w:gridSpan w:val="2"/>
          </w:tcPr>
          <w:p>
            <w:pPr>
              <w:ind w:left="1820"/>
              <w:spacing w:after="0"/>
              <w:rPr>
                <w:sz w:val="20"/>
                <w:szCs w:val="20"/>
                <w:color w:val="auto"/>
              </w:rPr>
            </w:pPr>
            <w:r>
              <w:rPr>
                <w:rFonts w:ascii="Times New Roman" w:cs="Times New Roman" w:eastAsia="Times New Roman" w:hAnsi="Times New Roman"/>
                <w:sz w:val="18"/>
                <w:szCs w:val="18"/>
                <w:color w:val="auto"/>
              </w:rPr>
              <w:t>(Registrant)</w:t>
            </w:r>
          </w:p>
        </w:tc>
      </w:tr>
      <w:tr>
        <w:trPr>
          <w:trHeight w:val="432"/>
        </w:trPr>
        <w:tc>
          <w:tcPr>
            <w:tcW w:w="3700" w:type="dxa"/>
            <w:vAlign w:val="bottom"/>
          </w:tcPr>
          <w:p>
            <w:pPr>
              <w:spacing w:after="0"/>
              <w:rPr>
                <w:sz w:val="24"/>
                <w:szCs w:val="24"/>
                <w:color w:val="auto"/>
              </w:rPr>
            </w:pPr>
          </w:p>
        </w:tc>
        <w:tc>
          <w:tcPr>
            <w:tcW w:w="2460" w:type="dxa"/>
            <w:vAlign w:val="bottom"/>
          </w:tcPr>
          <w:p>
            <w:pPr>
              <w:ind w:left="182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700" w:type="dxa"/>
            <w:vAlign w:val="bottom"/>
          </w:tcPr>
          <w:p>
            <w:pPr>
              <w:spacing w:after="0"/>
              <w:rPr>
                <w:sz w:val="17"/>
                <w:szCs w:val="17"/>
                <w:color w:val="auto"/>
              </w:rPr>
            </w:pPr>
          </w:p>
        </w:tc>
        <w:tc>
          <w:tcPr>
            <w:tcW w:w="2460" w:type="dxa"/>
            <w:vAlign w:val="bottom"/>
          </w:tcPr>
          <w:p>
            <w:pPr>
              <w:ind w:left="182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700" w:type="dxa"/>
            <w:vAlign w:val="bottom"/>
          </w:tcPr>
          <w:p>
            <w:pPr>
              <w:spacing w:after="0"/>
              <w:rPr>
                <w:sz w:val="20"/>
                <w:szCs w:val="20"/>
                <w:color w:val="auto"/>
              </w:rPr>
            </w:pPr>
          </w:p>
        </w:tc>
        <w:tc>
          <w:tcPr>
            <w:tcW w:w="2460" w:type="dxa"/>
            <w:vAlign w:val="bottom"/>
          </w:tcPr>
          <w:p>
            <w:pPr>
              <w:ind w:left="182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Senior Executive Vice President &amp; General Counsel</w:t>
            </w:r>
          </w:p>
        </w:tc>
      </w:tr>
    </w:tbl>
    <w:p>
      <w:pPr>
        <w:sectPr>
          <w:pgSz w:w="11900" w:h="16838" w:orient="portrait"/>
          <w:cols w:equalWidth="0" w:num="1">
            <w:col w:w="11020"/>
          </w:cols>
          <w:pgMar w:left="440" w:top="293" w:right="439" w:bottom="1440" w:gutter="0" w:footer="0" w:header="0"/>
        </w:sectPr>
      </w:pPr>
    </w:p>
    <w:bookmarkStart w:id="4" w:name="page5"/>
    <w:bookmarkEnd w:id="4"/>
    <w:p>
      <w:pPr>
        <w:jc w:val="right"/>
        <w:spacing w:after="0"/>
        <w:rPr>
          <w:sz w:val="20"/>
          <w:szCs w:val="20"/>
          <w:color w:val="auto"/>
        </w:rPr>
      </w:pPr>
      <w:r>
        <w:rPr>
          <w:rFonts w:ascii="Times New Roman" w:cs="Times New Roman" w:eastAsia="Times New Roman" w:hAnsi="Times New Roman"/>
          <w:sz w:val="18"/>
          <w:szCs w:val="18"/>
          <w:b w:val="1"/>
          <w:bCs w:val="1"/>
          <w:color w:val="auto"/>
        </w:rPr>
        <w:t>Exhibit 99.1</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Announces Proposed Private Offering of</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$1.75 Billion of Convertible Senior Notes</w:t>
      </w:r>
    </w:p>
    <w:p>
      <w:pPr>
        <w:spacing w:after="0" w:line="207" w:lineRule="exact"/>
        <w:rPr>
          <w:sz w:val="20"/>
          <w:szCs w:val="20"/>
          <w:color w:val="auto"/>
        </w:rPr>
      </w:pPr>
    </w:p>
    <w:p>
      <w:pPr>
        <w:ind w:right="140"/>
        <w:spacing w:after="0" w:line="238" w:lineRule="auto"/>
        <w:rPr>
          <w:sz w:val="20"/>
          <w:szCs w:val="20"/>
          <w:color w:val="auto"/>
        </w:rPr>
      </w:pPr>
      <w:r>
        <w:rPr>
          <w:rFonts w:ascii="Times New Roman" w:cs="Times New Roman" w:eastAsia="Times New Roman" w:hAnsi="Times New Roman"/>
          <w:sz w:val="18"/>
          <w:szCs w:val="18"/>
          <w:color w:val="auto"/>
        </w:rPr>
        <w:t>TYSONS CORNER, Va., November 18, 2024 — MicroStrategy</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Incorporated (Nasdaq: MSTR) (“MicroStrategy”) today announced that it intends to offer, subject to market conditions and other factors, $1.75 billion aggregate principal amount of its 0% convertible senior notes due 2029 (the “notes”) in a private offering to persons reasonably believed to be qualified institutional buyers in reliance on Rule 144A under the Securities Act of 1933, as amended (the “Securities Act”) and to certain non-U.S. persons in transactions outside the United States in compliance with Regulation S under the Securities Act. MicroStrategy also expects to grant to the initial purchasers of the notes an option to purchase, within a 3-day period beginning on, and including, the date on which the notes are first issued, up to an additional $250 million aggregate principal amount of the notes. The offering is subject to market and other conditions, and there can be no assurance as to whether, when or on what terms the offering may be completed.</w:t>
      </w:r>
    </w:p>
    <w:p>
      <w:pPr>
        <w:spacing w:after="0" w:line="200" w:lineRule="exact"/>
        <w:rPr>
          <w:sz w:val="20"/>
          <w:szCs w:val="20"/>
          <w:color w:val="auto"/>
        </w:rPr>
      </w:pPr>
    </w:p>
    <w:p>
      <w:pPr>
        <w:ind w:right="40"/>
        <w:spacing w:after="0" w:line="253" w:lineRule="auto"/>
        <w:rPr>
          <w:sz w:val="20"/>
          <w:szCs w:val="20"/>
          <w:color w:val="auto"/>
        </w:rPr>
      </w:pPr>
      <w:r>
        <w:rPr>
          <w:rFonts w:ascii="Times New Roman" w:cs="Times New Roman" w:eastAsia="Times New Roman" w:hAnsi="Times New Roman"/>
          <w:sz w:val="18"/>
          <w:szCs w:val="18"/>
          <w:color w:val="auto"/>
        </w:rPr>
        <w:t>The notes will be unsecured, senior obligations of MicroStrategy. The notes will not bear regular interest, and the principal amount of the notes will not accrete. The notes will mature on December 1, 2029, unless earlier repurchased, redeemed or converted in accordance with their terms. Subject to certain conditions, on or after December 4, 2026, MicroStrategy may redeem for cash all or any portion of the notes. If MicroStrategy redeems fewer than all the outstanding notes, at least $75 million aggregate principal amount of notes must be outstanding and not subject to redemption as of the relevant redemption notice date. Holders of the notes will have the right to require MicroStrategy to repurchase for cash all or any portion of their notes on June 1, 2028. The notes will be convertible into cash, shares of MicroStrategy’s class A common stock, or a combination of cash and shares of MicroStrategy’s class A common stock, at MicroStrategy’s election. Prior to June 1, 2029, the notes will be convertible only upon the occurrence of certain events and during certain periods, and thereafter, at any time until the second scheduled trading day immediately preceding the maturity date. The initial conversion rate and other terms of the notes will be determined at the time of pricing of the offering. MicroStrategy expects that the reference price used to calculate the initial conversion price for the notes will be the U.S. composite volume weighted average price of MicroStrategy’s class A common stock from 1:30 p.m. through 4:00 p.m. Eastern Standard Time on the date of pricing.</w:t>
      </w:r>
    </w:p>
    <w:p>
      <w:pPr>
        <w:spacing w:after="0" w:line="19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intends to use the net proceeds from this offering to acquire additional bitcoin and for general corporate purposes.</w:t>
      </w:r>
    </w:p>
    <w:p>
      <w:pPr>
        <w:spacing w:after="0" w:line="225" w:lineRule="exact"/>
        <w:rPr>
          <w:sz w:val="20"/>
          <w:szCs w:val="20"/>
          <w:color w:val="auto"/>
        </w:rPr>
      </w:pPr>
    </w:p>
    <w:p>
      <w:pPr>
        <w:spacing w:after="0" w:line="256" w:lineRule="auto"/>
        <w:rPr>
          <w:sz w:val="20"/>
          <w:szCs w:val="20"/>
          <w:color w:val="auto"/>
        </w:rPr>
      </w:pPr>
      <w:r>
        <w:rPr>
          <w:rFonts w:ascii="Times New Roman" w:cs="Times New Roman" w:eastAsia="Times New Roman" w:hAnsi="Times New Roman"/>
          <w:sz w:val="18"/>
          <w:szCs w:val="18"/>
          <w:color w:val="auto"/>
        </w:rPr>
        <w:t>The notes will be offered and sold to persons reasonably believed to be qualified institutional buyers in accordance with Rule 144A under the Securities Act and to certain non-U.S. persons in transactions outside the United States in compliance with Regulation S under the Securities Act. The offer and sale of the notes and the shares of MicroStrategy’s class A common stock issuable upon conversion of the notes, if any, have not been and will not be registered under the Securities Act or the securities laws of any other jurisdiction, and the notes and any such shares may not be offered or sold in the United States absent registration or an applicable exemption from such registration requirements. Any offer of the notes will be made only by means of a private offering memorandum.</w:t>
      </w:r>
    </w:p>
    <w:p>
      <w:pPr>
        <w:spacing w:after="0" w:line="187" w:lineRule="exact"/>
        <w:rPr>
          <w:sz w:val="20"/>
          <w:szCs w:val="20"/>
          <w:color w:val="auto"/>
        </w:rPr>
      </w:pPr>
    </w:p>
    <w:p>
      <w:pPr>
        <w:ind w:right="100"/>
        <w:spacing w:after="0" w:line="266" w:lineRule="auto"/>
        <w:rPr>
          <w:sz w:val="20"/>
          <w:szCs w:val="20"/>
          <w:color w:val="auto"/>
        </w:rPr>
      </w:pPr>
      <w:r>
        <w:rPr>
          <w:rFonts w:ascii="Times New Roman" w:cs="Times New Roman" w:eastAsia="Times New Roman" w:hAnsi="Times New Roman"/>
          <w:sz w:val="18"/>
          <w:szCs w:val="18"/>
          <w:color w:val="auto"/>
        </w:rPr>
        <w:t>This press release shall not constitute an offer to sell, or a solicitation of an offer to buy the notes, nor shall there be any sale of, the notes in any state or jurisdiction in which such offer, solicitation or sale would be unlawful under the securities laws of any such state or jurisdiction. There can be no assurances that the offering of the notes will be completed as described herein or at all.</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Video Webinar</w:t>
      </w:r>
    </w:p>
    <w:p>
      <w:pPr>
        <w:spacing w:after="0" w:line="121" w:lineRule="exact"/>
        <w:rPr>
          <w:sz w:val="20"/>
          <w:szCs w:val="20"/>
          <w:color w:val="auto"/>
        </w:rPr>
      </w:pPr>
    </w:p>
    <w:p>
      <w:pPr>
        <w:ind w:right="120"/>
        <w:spacing w:after="0" w:line="258" w:lineRule="auto"/>
        <w:rPr>
          <w:sz w:val="20"/>
          <w:szCs w:val="20"/>
          <w:color w:val="auto"/>
        </w:rPr>
      </w:pPr>
      <w:r>
        <w:rPr>
          <w:rFonts w:ascii="Times New Roman" w:cs="Times New Roman" w:eastAsia="Times New Roman" w:hAnsi="Times New Roman"/>
          <w:sz w:val="18"/>
          <w:szCs w:val="18"/>
          <w:color w:val="auto"/>
        </w:rPr>
        <w:t>MicroStrategy will be discussing the proposed convertible notes offering on a live Video Webinar beginning at approximately 9:00 a.m. Eastern Standard Time on Tuesday, November 19, 2024. If you are a qualified institutional buyer as defined in Rule 144A under the Securities Act, and you would like to participate in this proposed convertible notes offering and/or attend the Video Webinar, please complete the investor survey, which can be accessed at https://www.microstrategy.com/investor-relations/register. We or parties on our behalf may request additional information to verify your status as a qualified institutional buyer. Failure to provide requested</w:t>
      </w:r>
    </w:p>
    <w:p>
      <w:pPr>
        <w:sectPr>
          <w:pgSz w:w="11900" w:h="16838" w:orient="portrait"/>
          <w:cols w:equalWidth="0" w:num="1">
            <w:col w:w="11020"/>
          </w:cols>
          <w:pgMar w:left="440" w:top="117" w:right="439" w:bottom="1440" w:gutter="0" w:footer="0" w:header="0"/>
        </w:sectPr>
      </w:pPr>
    </w:p>
    <w:bookmarkStart w:id="5" w:name="page6"/>
    <w:bookmarkEnd w:id="5"/>
    <w:p>
      <w:pPr>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information may prevent you from participating in our private offering of securities pursuant to Rule 144A under the Securities Act. Access to the Video Webinar and completion of the investor survey does not mean you will receive an allocation in this proposed convertible notes offering.</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About MicroStrategy Incorporated</w:t>
      </w:r>
    </w:p>
    <w:p>
      <w:pPr>
        <w:spacing w:after="0" w:line="121" w:lineRule="exact"/>
        <w:rPr>
          <w:sz w:val="20"/>
          <w:szCs w:val="20"/>
          <w:color w:val="auto"/>
        </w:rPr>
      </w:pPr>
    </w:p>
    <w:p>
      <w:pPr>
        <w:ind w:right="160"/>
        <w:spacing w:after="0" w:line="254" w:lineRule="auto"/>
        <w:rPr>
          <w:sz w:val="20"/>
          <w:szCs w:val="20"/>
          <w:color w:val="auto"/>
        </w:rPr>
      </w:pPr>
      <w:r>
        <w:rPr>
          <w:rFonts w:ascii="Times New Roman" w:cs="Times New Roman" w:eastAsia="Times New Roman" w:hAnsi="Times New Roman"/>
          <w:sz w:val="18"/>
          <w:szCs w:val="18"/>
          <w:color w:val="auto"/>
        </w:rPr>
        <w:t>MicroStrategy (Nasdaq: MSTR) is the world’s first and largest Bitcoin Treasury Company. We are a publicly traded company that has adopted Bitcoin as our primary treasury reserve asset. By using proceeds from equity and debt financings, as well as cash flows from our operations, we strategically accumulate Bitcoin and advocate for its role as digital capital. Our treasury strategy is designed to provide investors varying degrees of economic exposure to Bitcoin by offering a range of securities, including equity and fixed-income instruments. In addition, we provide industry-leading AI-powered enterprise analytics software, advancing our vision of Intelligence Everywhere. We leverage our development capabilities to explore innovation in Bitcoin applications, integrating analytics expertise with our commitment to digital asset growth. We believe our combination of operational excellence, strategic Bitcoin reserve, and focus on technological innovation positions us as a leader in both the digital asset and enterprise analytics sectors, offering a unique opportunity for long-term value creation.</w:t>
      </w:r>
    </w:p>
    <w:p>
      <w:pPr>
        <w:spacing w:after="0" w:line="192" w:lineRule="exact"/>
        <w:rPr>
          <w:sz w:val="20"/>
          <w:szCs w:val="20"/>
          <w:color w:val="auto"/>
        </w:rPr>
      </w:pPr>
    </w:p>
    <w:p>
      <w:pPr>
        <w:ind w:right="40"/>
        <w:spacing w:after="0" w:line="266" w:lineRule="auto"/>
        <w:rPr>
          <w:sz w:val="20"/>
          <w:szCs w:val="20"/>
          <w:color w:val="auto"/>
        </w:rPr>
      </w:pPr>
      <w:r>
        <w:rPr>
          <w:rFonts w:ascii="Times New Roman" w:cs="Times New Roman" w:eastAsia="Times New Roman" w:hAnsi="Times New Roman"/>
          <w:sz w:val="18"/>
          <w:szCs w:val="18"/>
          <w:color w:val="auto"/>
        </w:rPr>
        <w:t>MicroStrategy, MicroStrategy AI, Intelligence Everywhere, Intelligent Enterprise, and MicroStrategy Library are either trademarks or registered trademarks of MicroStrategy Incorporated in the United States and certain other countries. Other product and company names mentioned herein may be the trademarks of their respective owners.</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Forward-Looking Statements</w:t>
      </w:r>
    </w:p>
    <w:p>
      <w:pPr>
        <w:spacing w:after="0" w:line="121"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Statements in this press release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size and timing of the offering, the anticipated use of any proceeds from the offering, and the terms of the notes.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and the completion of the offering on the anticipated terms or at all, the other factors discussed in the “Risk Factors” section of MicroStrategy’s Quarterly Report on Form 10-Q filed with the Securities and Exchange Commission on October 31, 2024, and the risks described in other filings that MicroStrategy may make with the Securities and Exchange Commission. Any forward-looking statements contained in this press release speak only as of the date hereof, and MicroStrategy specifically disclaims any obligation to update any forward-looking statement, whether as a result of new information, future events, or otherwise.</w:t>
      </w:r>
    </w:p>
    <w:p>
      <w:pPr>
        <w:spacing w:after="0" w:line="19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Shirish Jajodia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Corporate Treasurer</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ir@microstrategy.com</w:t>
      </w:r>
    </w:p>
    <w:p>
      <w:pPr>
        <w:sectPr>
          <w:pgSz w:w="11900" w:h="16838" w:orient="portrait"/>
          <w:cols w:equalWidth="0" w:num="1">
            <w:col w:w="10980"/>
          </w:cols>
          <w:pgMar w:left="440" w:top="270" w:right="479" w:bottom="1440" w:gutter="0" w:footer="0" w:header="0"/>
        </w:sectPr>
      </w:pPr>
    </w:p>
    <w:bookmarkStart w:id="6" w:name="page7"/>
    <w:bookmarkEnd w:id="6"/>
    <w:p>
      <w:pPr>
        <w:jc w:val="right"/>
        <w:spacing w:after="0"/>
        <w:rPr>
          <w:sz w:val="20"/>
          <w:szCs w:val="20"/>
          <w:color w:val="auto"/>
        </w:rPr>
      </w:pPr>
      <w:r>
        <w:rPr>
          <w:rFonts w:ascii="Times New Roman" w:cs="Times New Roman" w:eastAsia="Times New Roman" w:hAnsi="Times New Roman"/>
          <w:sz w:val="18"/>
          <w:szCs w:val="18"/>
          <w:b w:val="1"/>
          <w:bCs w:val="1"/>
          <w:color w:val="auto"/>
        </w:rPr>
        <w:t>Exhibit 99.2</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Announces Pricing of Offering of 0% Convertible Senior Notes</w:t>
      </w:r>
    </w:p>
    <w:p>
      <w:pPr>
        <w:spacing w:after="0" w:line="229" w:lineRule="exact"/>
        <w:rPr>
          <w:sz w:val="20"/>
          <w:szCs w:val="20"/>
          <w:color w:val="auto"/>
        </w:rPr>
      </w:pPr>
    </w:p>
    <w:p>
      <w:pPr>
        <w:ind w:right="40"/>
        <w:spacing w:after="0" w:line="239" w:lineRule="auto"/>
        <w:rPr>
          <w:sz w:val="20"/>
          <w:szCs w:val="20"/>
          <w:color w:val="auto"/>
        </w:rPr>
      </w:pPr>
      <w:r>
        <w:rPr>
          <w:rFonts w:ascii="Times New Roman" w:cs="Times New Roman" w:eastAsia="Times New Roman" w:hAnsi="Times New Roman"/>
          <w:sz w:val="18"/>
          <w:szCs w:val="18"/>
          <w:color w:val="auto"/>
        </w:rPr>
        <w:t>TYSONS CORNER, Va., November 20, 2024 — MicroStrategy</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Incorporated (Nasdaq: MSTR) (“MicroStrategy”) today announced the pricing of its offering of $2.6 billion aggregate principal amount of its 0% convertible senior notes due 2029 (the “notes”). The notes will be sold in a private offering only to persons reasonably believed to be qualified institutional buyers in reliance on Rule 144A under the Securities Act of 1933, as amended (the “Securities Act”) and to certain non-U.S. persons in transactions outside the United States in compliance with Regulation S under the Securities Act. MicroStrategy also granted to the initial purchasers of the notes an option to purchase, within a 3-day period beginning on, and including, the date on which the notes are first issued, up to an additional $400 million aggregate principal amount of the notes. The offering was upsized from the previously announced offering of $1.75 billion aggregate principal amount of notes. The offering is expected to close on November 21, 2024, subject to satisfaction of customary closing conditions.</w:t>
      </w:r>
    </w:p>
    <w:p>
      <w:pPr>
        <w:spacing w:after="0" w:line="203" w:lineRule="exact"/>
        <w:rPr>
          <w:sz w:val="20"/>
          <w:szCs w:val="20"/>
          <w:color w:val="auto"/>
        </w:rPr>
      </w:pPr>
    </w:p>
    <w:p>
      <w:pPr>
        <w:ind w:right="20"/>
        <w:spacing w:after="0" w:line="273" w:lineRule="auto"/>
        <w:rPr>
          <w:sz w:val="20"/>
          <w:szCs w:val="20"/>
          <w:color w:val="auto"/>
        </w:rPr>
      </w:pPr>
      <w:r>
        <w:rPr>
          <w:rFonts w:ascii="Times New Roman" w:cs="Times New Roman" w:eastAsia="Times New Roman" w:hAnsi="Times New Roman"/>
          <w:sz w:val="17"/>
          <w:szCs w:val="17"/>
          <w:color w:val="auto"/>
        </w:rPr>
        <w:t>The notes will be unsecured, senior obligations of MicroStrategy. The notes will not bear regular interest, and the principal amount of the notes will not accrete. The notes will mature on December 1, 2029, unless earlier repurchased, redeemed or converted in accordance with their terms. Subject to certain conditions, on or after December 4, 2026, MicroStrategy may redeem for cash all or any portion of the notes at a redemption price equal to 100% of the principal amount of the notes to be redeemed, plus accrued and unpaid special interest, if any, to, but excluding, the redemption date, if the last reported sale price of MicroStrategy’s class A common stock has been at least 130% of the conversion price then in effect for a specified period of time ending on the trading day immediately before the date the notice of redemption is sent. If MicroStrategy redeems fewer than all the outstanding notes, at least $75 million aggregate principal amount of notes must be outstanding and not subject to redemption as of the relevant redemption notice date.</w:t>
      </w:r>
    </w:p>
    <w:p>
      <w:pPr>
        <w:spacing w:after="0" w:line="171" w:lineRule="exact"/>
        <w:rPr>
          <w:sz w:val="20"/>
          <w:szCs w:val="20"/>
          <w:color w:val="auto"/>
        </w:rPr>
      </w:pPr>
    </w:p>
    <w:p>
      <w:pPr>
        <w:ind w:right="40"/>
        <w:spacing w:after="0" w:line="258" w:lineRule="auto"/>
        <w:rPr>
          <w:sz w:val="20"/>
          <w:szCs w:val="20"/>
          <w:color w:val="auto"/>
        </w:rPr>
      </w:pPr>
      <w:r>
        <w:rPr>
          <w:rFonts w:ascii="Times New Roman" w:cs="Times New Roman" w:eastAsia="Times New Roman" w:hAnsi="Times New Roman"/>
          <w:sz w:val="18"/>
          <w:szCs w:val="18"/>
          <w:color w:val="auto"/>
        </w:rPr>
        <w:t>Holders of notes may require MicroStrategy to repurchase for cash all or any portion of their notes on June 1, 2028 or upon the occurrence of certain events that constitute a fundamental change under the indenture governing the notes at a repurchase price equal to 100% of the principal amount of the notes to be repurchased, plus any accrued and unpaid special interest to, but excluding, the date of repurchase. In connection with certain corporate events or if MicroStrategy calls any note for redemption, it will, under certain circumstances, be required to increase the conversion rate for holders who elect to convert their notes in connection with such corporate event or notice of redemption.</w:t>
      </w:r>
    </w:p>
    <w:p>
      <w:pPr>
        <w:spacing w:after="0" w:line="183" w:lineRule="exact"/>
        <w:rPr>
          <w:sz w:val="20"/>
          <w:szCs w:val="20"/>
          <w:color w:val="auto"/>
        </w:rPr>
      </w:pPr>
    </w:p>
    <w:p>
      <w:pPr>
        <w:jc w:val="both"/>
        <w:ind w:right="120"/>
        <w:spacing w:after="0" w:line="266" w:lineRule="auto"/>
        <w:rPr>
          <w:sz w:val="20"/>
          <w:szCs w:val="20"/>
          <w:color w:val="auto"/>
        </w:rPr>
      </w:pPr>
      <w:r>
        <w:rPr>
          <w:rFonts w:ascii="Times New Roman" w:cs="Times New Roman" w:eastAsia="Times New Roman" w:hAnsi="Times New Roman"/>
          <w:sz w:val="18"/>
          <w:szCs w:val="18"/>
          <w:color w:val="auto"/>
        </w:rPr>
        <w:t>The notes will be convertible into cash, shares of MicroStrategy’s class A common stock, or a combination of cash and shares of MicroStrategy’s class A common stock, at MicroStrategy’s election. Prior to June 1, 2029, the notes will be convertible only upon the occurrence of certain events and during certain periods, and thereafter, at any time until the second scheduled trading day immediately preceding the maturity date.</w:t>
      </w:r>
    </w:p>
    <w:p>
      <w:pPr>
        <w:spacing w:after="0" w:line="176" w:lineRule="exact"/>
        <w:rPr>
          <w:sz w:val="20"/>
          <w:szCs w:val="20"/>
          <w:color w:val="auto"/>
        </w:rPr>
      </w:pPr>
    </w:p>
    <w:p>
      <w:pPr>
        <w:ind w:right="180"/>
        <w:spacing w:after="0" w:line="258" w:lineRule="auto"/>
        <w:rPr>
          <w:sz w:val="20"/>
          <w:szCs w:val="20"/>
          <w:color w:val="auto"/>
        </w:rPr>
      </w:pPr>
      <w:r>
        <w:rPr>
          <w:rFonts w:ascii="Times New Roman" w:cs="Times New Roman" w:eastAsia="Times New Roman" w:hAnsi="Times New Roman"/>
          <w:sz w:val="18"/>
          <w:szCs w:val="18"/>
          <w:color w:val="auto"/>
        </w:rPr>
        <w:t>The conversion rate for the notes will initially be 1.4872 shares of MicroStrategy’s class A common stock per $1,000 principal amount of notes, which is equivalent to an initial conversion price of approximately $672.40 per share. The initial conversion price of the notes represents a premium of approximately 55% over the U.S. composite volume weighted average price of MicroStrategy’s class A common stock from 1:30 p.m. through 4:00 p.m. Eastern Standard Time on November 19, 2024, which was $433.7997. The conversion rate will be subject to adjustment upon the occurrence of certain events.</w:t>
      </w:r>
    </w:p>
    <w:p>
      <w:pPr>
        <w:spacing w:after="0" w:line="183" w:lineRule="exact"/>
        <w:rPr>
          <w:sz w:val="20"/>
          <w:szCs w:val="20"/>
          <w:color w:val="auto"/>
        </w:rPr>
      </w:pPr>
    </w:p>
    <w:p>
      <w:pPr>
        <w:ind w:right="100"/>
        <w:spacing w:after="0" w:line="266" w:lineRule="auto"/>
        <w:rPr>
          <w:sz w:val="20"/>
          <w:szCs w:val="20"/>
          <w:color w:val="auto"/>
        </w:rPr>
      </w:pPr>
      <w:r>
        <w:rPr>
          <w:rFonts w:ascii="Times New Roman" w:cs="Times New Roman" w:eastAsia="Times New Roman" w:hAnsi="Times New Roman"/>
          <w:sz w:val="18"/>
          <w:szCs w:val="18"/>
          <w:color w:val="auto"/>
        </w:rPr>
        <w:t>MicroStrategy estimates that the net proceeds from the sale of the notes will be approximately $2.58 billion (or approximately $2.97 billion if the initial purchasers exercise in full their option to purchase additional notes), after deducting the initial purchasers’ discounts and commissions and estimated offering expenses payable by MicroStrategy.</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intends to use the net proceeds from the offering to acquire additional bitcoin and for general corporate purposes.</w:t>
      </w:r>
    </w:p>
    <w:p>
      <w:pPr>
        <w:sectPr>
          <w:pgSz w:w="11900" w:h="16838" w:orient="portrait"/>
          <w:cols w:equalWidth="0" w:num="1">
            <w:col w:w="11020"/>
          </w:cols>
          <w:pgMar w:left="440" w:top="117" w:right="439" w:bottom="1440" w:gutter="0" w:footer="0" w:header="0"/>
        </w:sectPr>
      </w:pPr>
    </w:p>
    <w:bookmarkStart w:id="7" w:name="page8"/>
    <w:bookmarkEnd w:id="7"/>
    <w:p>
      <w:pPr>
        <w:ind w:right="20"/>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notes will be offered and sold to persons reasonably believed to be qualified institutional buyers in accordance with Rule 144A under the Securities Act and to certain non-U.S. persons in transactions outside the United States in compliance with Regulation S under the Securities Act. The offer and sale of the notes and the shares of MicroStrategy’s class A common stock issuable upon conversion of the notes, if any, have not been and will not be registered under the Securities Act or the securities laws of any other jurisdiction, and the notes and any such shares may not be offered or sold in the United States absent registration or an applicable exemption from such registration requirements. The offering of the notes is being made only by means of a private offering memorandum.</w:t>
      </w:r>
    </w:p>
    <w:p>
      <w:pPr>
        <w:spacing w:after="0" w:line="187" w:lineRule="exact"/>
        <w:rPr>
          <w:sz w:val="20"/>
          <w:szCs w:val="20"/>
          <w:color w:val="auto"/>
        </w:rPr>
      </w:pPr>
    </w:p>
    <w:p>
      <w:pPr>
        <w:ind w:right="60"/>
        <w:spacing w:after="0" w:line="266" w:lineRule="auto"/>
        <w:rPr>
          <w:sz w:val="20"/>
          <w:szCs w:val="20"/>
          <w:color w:val="auto"/>
        </w:rPr>
      </w:pPr>
      <w:r>
        <w:rPr>
          <w:rFonts w:ascii="Times New Roman" w:cs="Times New Roman" w:eastAsia="Times New Roman" w:hAnsi="Times New Roman"/>
          <w:sz w:val="18"/>
          <w:szCs w:val="18"/>
          <w:color w:val="auto"/>
        </w:rPr>
        <w:t>This press release shall not constitute an offer to sell, or a solicitation of an offer to buy the notes, nor shall there be any sale of, the notes in any state or jurisdiction in which such offer, solicitation or sale would be unlawful under the securities laws of any such state or jurisdiction. There can be no assurances that the offering of the notes will be completed as described herein or at all.</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About MicroStrategy Incorporated</w:t>
      </w:r>
    </w:p>
    <w:p>
      <w:pPr>
        <w:spacing w:after="0" w:line="121" w:lineRule="exact"/>
        <w:rPr>
          <w:sz w:val="20"/>
          <w:szCs w:val="20"/>
          <w:color w:val="auto"/>
        </w:rPr>
      </w:pPr>
    </w:p>
    <w:p>
      <w:pPr>
        <w:ind w:right="160"/>
        <w:spacing w:after="0" w:line="254" w:lineRule="auto"/>
        <w:rPr>
          <w:sz w:val="20"/>
          <w:szCs w:val="20"/>
          <w:color w:val="auto"/>
        </w:rPr>
      </w:pPr>
      <w:r>
        <w:rPr>
          <w:rFonts w:ascii="Times New Roman" w:cs="Times New Roman" w:eastAsia="Times New Roman" w:hAnsi="Times New Roman"/>
          <w:sz w:val="18"/>
          <w:szCs w:val="18"/>
          <w:color w:val="auto"/>
        </w:rPr>
        <w:t>MicroStrategy (Nasdaq: MSTR) is the world’s first and largest Bitcoin Treasury Company. We are a publicly traded company that has adopted Bitcoin as our primary treasury reserve asset. By using proceeds from equity and debt financings, as well as cash flows from our operations, we strategically accumulate Bitcoin and advocate for its role as digital capital. Our treasury strategy is designed to provide investors varying degrees of economic exposure to Bitcoin by offering a range of securities, including equity and fixed-income instruments. In addition, we provide industry-leading AI-powered enterprise analytics software, advancing our vision of Intelligence Everywhere. We leverage our development capabilities to explore innovation in Bitcoin applications, integrating analytics expertise with our commitment to digital asset growth. We believe our combination of operational excellence, strategic Bitcoin reserve, and focus on technological innovation positions us as a leader in both the digital asset and enterprise analytics sectors, offering a unique opportunity for long-term value creation.</w:t>
      </w:r>
    </w:p>
    <w:p>
      <w:pPr>
        <w:spacing w:after="0" w:line="192" w:lineRule="exact"/>
        <w:rPr>
          <w:sz w:val="20"/>
          <w:szCs w:val="20"/>
          <w:color w:val="auto"/>
        </w:rPr>
      </w:pPr>
    </w:p>
    <w:p>
      <w:pPr>
        <w:ind w:right="40"/>
        <w:spacing w:after="0" w:line="266" w:lineRule="auto"/>
        <w:rPr>
          <w:sz w:val="20"/>
          <w:szCs w:val="20"/>
          <w:color w:val="auto"/>
        </w:rPr>
      </w:pPr>
      <w:r>
        <w:rPr>
          <w:rFonts w:ascii="Times New Roman" w:cs="Times New Roman" w:eastAsia="Times New Roman" w:hAnsi="Times New Roman"/>
          <w:sz w:val="18"/>
          <w:szCs w:val="18"/>
          <w:color w:val="auto"/>
        </w:rPr>
        <w:t>MicroStrategy, MicroStrategy AI, Intelligence Everywhere, Intelligent Enterprise, and MicroStrategy Library are either trademarks or registered trademarks of MicroStrategy Incorporated in the United States and certain other countries. Other product and company names mentioned herein may be the trademarks of their respective owners.</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Forward-Looking Statements</w:t>
      </w:r>
    </w:p>
    <w:p>
      <w:pPr>
        <w:spacing w:after="0" w:line="121"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Statements in this press release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estimated net proceeds of the offering, the anticipated use of such net proceeds, and the anticipated closing date.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and the completion of the offering on the anticipated terms or at all, the uncertainties related to the satisfaction of closing conditions for the sale of the notes, the other factors discussed in the “Risk Factors” section of MicroStrategy’s Quarterly Report on Form 10-Q filed with the Securities and Exchange Commission on October 31, 2024, and the risks described in other filings that MicroStrategy may make with the Securities and Exchange Commission. Any forward-looking statements contained in this press release speak only as of the date hereof, and MicroStrategy specifically disclaims any obligation to update any forward-looking statement, whether as a result of new information, future events, or otherwise.</w:t>
      </w:r>
    </w:p>
    <w:p>
      <w:pPr>
        <w:spacing w:after="0" w:line="19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Shirish Jajodia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Corporate Treasurer</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ir@microstrategy.com</w:t>
      </w:r>
    </w:p>
    <w:sectPr>
      <w:pgSz w:w="11900" w:h="16838" w:orient="portrait"/>
      <w:cols w:equalWidth="0" w:num="1">
        <w:col w:w="10980"/>
      </w:cols>
      <w:pgMar w:left="440" w:top="270" w:right="47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327B23C6"/>
    <w:multiLevelType w:val="hybridMultilevel"/>
    <w:lvl w:ilvl="0">
      <w:lvlJc w:val="left"/>
      <w:lvlText w:val="☐"/>
      <w:numFmt w:val="bullet"/>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2024-11-20T07:11:49Z</dcterms:created>
  <dcterms:modified xsi:type="dcterms:W3CDTF">2024-11-20T07:11:49Z</dcterms:modified>
</cp:coreProperties>
</file>